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ТЕХНІЧНЕ ЗАВДАННЯ 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 Запиту комерційних пропозицій</w:t>
        <w:br w:type="textWrapping"/>
        <w:t xml:space="preserve">на закупівлю послуг SMM-спеціаліста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Загальна інформація: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Замовник: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Громадська організація “Асоціація сталого розвитку громад України”.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Назва проєкту: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Підвищення ефективності управління енергоресурсами через впровадження муніципального планування та системи енергоменеджменту у двох малих громадах Волинської області”.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Проєкт реалізується в межах проєкту “Фенікс: Сила спільнот”, що впроваджується Фондом Східна Європа за фінансової підтримки Європейського Союзу.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Це Технічне завдання визначає обсяг, зміст та очікувані результати послуг SMM-спеціаліста.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Мета закупівлі: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Метою залучення SMM-спеціаліста є забезпечення системного інформаційного супроводу реалізації проєкту, висвітлення проєктних активностей та результатів, а також дотримання вимог щодо публічності та брендування.</w:t>
      </w:r>
    </w:p>
    <w:p w:rsidR="00000000" w:rsidDel="00000000" w:rsidP="00000000" w:rsidRDefault="00000000" w:rsidRPr="00000000" w14:paraId="0000000A">
      <w:pPr>
        <w:spacing w:after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Період надання послуг: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01 березня 2026 року – 10 жовтня 2026 року.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4. Орієнтовний обсяг послуг: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Загальний орієнтовний обсяг – 173 години.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Фактичний розподіл годин буде погоджено із Замовником.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Обсяг та зміст послуг: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Виконавець забезпечує: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розробку комунікаційного плану на період реалізації Проєкту;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підготовку інформаційних матеріалів (публікацій) українською мовою, включно зі створенням фото- та відеоконтенту, написанням статей і публікацій та офіційного сайту і соціальних мереж;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підготовку або адаптацію візуальних матеріалів відповідно до вимог брендбуку;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розміщення погоджених із Фондом Східна Європа та Замовником матеріалів на офіційному сайті та у соціальних мережах (Facebook, LinkedIn, Instagram) Замовника;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повне висвітлення ключових заходів Проєкту;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підготовка медіа-звітів про хід інформаційної кампанії Проєкту.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 Вимоги щодо публічності та брендування: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Усі матеріали повинні містити формулювання: “Проєкт реалізується в межах проєкту «Фенікс: Сила спільнот», що впроваджується Фондом Східна Європа за фінансової підтримки Європейського Союзу”.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Матеріали повинні відповідати вимогам щодо використання логотипів та правил публічності.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випадках, передбачених умовами гранту, матеріали підлягають попередньому погодженню з Фондом до їх оприлюднення.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 Кваліфікаційні вимоги: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участі допускаються фізичні особи-підприємці або юридичні особи, які здійснюють діяльність у сфері комунікацій, SMM, дизайну або створення контенту для соціальних мереж.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Наявність практичного досвіду роботи у сфері SMM є бажаною. Учасник може підтвердити свою спроможність виконувати послуги прикладами робіт, портфоліо або описом виконаних завдань.</w:t>
      </w:r>
    </w:p>
    <w:p w:rsidR="00000000" w:rsidDel="00000000" w:rsidP="00000000" w:rsidRDefault="00000000" w:rsidRPr="00000000" w14:paraId="0000001D">
      <w:pPr>
        <w:spacing w:after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8. Комерційні пропозиції оцінюватимуться за наступними критеріями: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Вартість пропозиції - 10 балів.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lineRule="auto"/>
        <w:ind w:left="0" w:hanging="2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Попередній досвід -10 балів.  </w:t>
      </w:r>
    </w:p>
    <w:p w:rsidR="00000000" w:rsidDel="00000000" w:rsidP="00000000" w:rsidRDefault="00000000" w:rsidRPr="00000000" w14:paraId="00000020">
      <w:pPr>
        <w:spacing w:after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Оцінювання виконавців відбувається за 10 бальною системою, де оцінка 10 балів відмінно, а 0 якщо постачальник не дотримується вимог оцінювальної  категорії.</w:t>
      </w:r>
    </w:p>
    <w:p w:rsidR="00000000" w:rsidDel="00000000" w:rsidP="00000000" w:rsidRDefault="00000000" w:rsidRPr="00000000" w14:paraId="00000021">
      <w:pPr>
        <w:spacing w:after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проведенні запиту  Громадська організація “Асоціація сталого розвитку громад України”  працює за принципом співвідношення ціна-якість, тому жоден з  критеріїв не є переважним. Всі цінові пропозиції будуть розглянуті та оцінені за сукупністю критеріїв. 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9. Вимоги до подання пропозицій:</w:t>
      </w:r>
    </w:p>
    <w:p w:rsidR="00000000" w:rsidDel="00000000" w:rsidP="00000000" w:rsidRDefault="00000000" w:rsidRPr="00000000" w14:paraId="00000023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Учасники подають комерційну пропозицію, що містить: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вартість однієї години послуг (грн/год);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загальну вартість пропозиції (грн);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банківські реквізити учасника.</w:t>
      </w:r>
    </w:p>
    <w:p w:rsidR="00000000" w:rsidDel="00000000" w:rsidP="00000000" w:rsidRDefault="00000000" w:rsidRPr="00000000" w14:paraId="00000027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пропозиції додаються: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резюме фахівця із зазначенням кваліфікації та релевантного досвіду;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приклади виконаних робіт або портфоліо (за наявності);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короткий опис підходу до виконання завдання (1-2 абзаци).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z9ik9b8hl34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Для фізичних осіб-підприємців (ФОП) додатково подаються: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копія Свідоцтва про державну реєстрацію або Виписка з ЄДР;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Свідоцтво платника єдиного податку або інший документ із зазначенням системи оподаткування;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before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документ із переліком видів діяльності (КВЕД).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2dnvr25w7zv6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Для фізичних осіб (у разі укладення цивільно-правового договору):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резюме фахівця із зазначенням кваліфікації та релевантного досвіду.</w:t>
      </w:r>
    </w:p>
    <w:p w:rsidR="00000000" w:rsidDel="00000000" w:rsidP="00000000" w:rsidRDefault="00000000" w:rsidRPr="00000000" w14:paraId="00000031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Інші документи, необхідні для укладення договору ЦПХ, можуть бути запитані у переможця процедури додатково.</w:t>
      </w:r>
    </w:p>
    <w:p w:rsidR="00000000" w:rsidDel="00000000" w:rsidP="00000000" w:rsidRDefault="00000000" w:rsidRPr="00000000" w14:paraId="00000032">
      <w:pPr>
        <w:spacing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Надання неповного пакета документів може бути підставою для відхилення пропозиції.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837607" cy="837607"/>
          <wp:effectExtent b="0" l="0" r="0" t="0"/>
          <wp:docPr id="213733175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7607" cy="83760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274320</wp:posOffset>
          </wp:positionV>
          <wp:extent cx="4243388" cy="368599"/>
          <wp:effectExtent b="0" l="0" r="0" t="0"/>
          <wp:wrapNone/>
          <wp:docPr id="213733175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43388" cy="36859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5">
    <w:name w:val="header"/>
    <w:basedOn w:val="a"/>
    <w:link w:val="a6"/>
    <w:uiPriority w:val="99"/>
    <w:unhideWhenUsed w:val="1"/>
    <w:rsid w:val="00EB76B1"/>
    <w:pPr>
      <w:tabs>
        <w:tab w:val="center" w:pos="4513"/>
        <w:tab w:val="right" w:pos="9026"/>
      </w:tabs>
      <w:spacing w:line="240" w:lineRule="auto"/>
    </w:pPr>
  </w:style>
  <w:style w:type="character" w:styleId="a6" w:customStyle="1">
    <w:name w:val="Верхний колонтитул Знак"/>
    <w:basedOn w:val="a0"/>
    <w:link w:val="a5"/>
    <w:uiPriority w:val="99"/>
    <w:rsid w:val="00EB76B1"/>
  </w:style>
  <w:style w:type="paragraph" w:styleId="a7">
    <w:name w:val="footer"/>
    <w:basedOn w:val="a"/>
    <w:link w:val="a8"/>
    <w:uiPriority w:val="99"/>
    <w:unhideWhenUsed w:val="1"/>
    <w:rsid w:val="00EB76B1"/>
    <w:pPr>
      <w:tabs>
        <w:tab w:val="center" w:pos="4513"/>
        <w:tab w:val="right" w:pos="9026"/>
      </w:tabs>
      <w:spacing w:line="240" w:lineRule="auto"/>
    </w:pPr>
  </w:style>
  <w:style w:type="character" w:styleId="a8" w:customStyle="1">
    <w:name w:val="Нижний колонтитул Знак"/>
    <w:basedOn w:val="a0"/>
    <w:link w:val="a7"/>
    <w:uiPriority w:val="99"/>
    <w:rsid w:val="00EB76B1"/>
  </w:style>
  <w:style w:type="character" w:styleId="a9">
    <w:name w:val="annotation reference"/>
    <w:basedOn w:val="a0"/>
    <w:uiPriority w:val="99"/>
    <w:semiHidden w:val="1"/>
    <w:unhideWhenUsed w:val="1"/>
    <w:rsid w:val="00F1167E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 w:val="1"/>
    <w:rsid w:val="00F1167E"/>
    <w:pPr>
      <w:spacing w:line="240" w:lineRule="auto"/>
    </w:pPr>
    <w:rPr>
      <w:sz w:val="20"/>
      <w:szCs w:val="20"/>
      <w:lang w:eastAsia="zh-CN"/>
    </w:rPr>
  </w:style>
  <w:style w:type="character" w:styleId="ab" w:customStyle="1">
    <w:name w:val="Текст примечания Знак"/>
    <w:basedOn w:val="a0"/>
    <w:link w:val="aa"/>
    <w:uiPriority w:val="99"/>
    <w:rsid w:val="00F1167E"/>
    <w:rPr>
      <w:sz w:val="20"/>
      <w:szCs w:val="20"/>
      <w:lang w:eastAsia="zh-CN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9q/TLaByikUabMh/1xVQGja7g==">CgMxLjAyDmguejlpazliOGhsMzRuMg5oLjJkbnZyMjV3N3p2NjgAciExVVlLcldYZVdUVC0wRTg1cVNSWU9NdEFlb3VWUzlYQWY=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2026-02-17T20:51:00Z</dcterms:created>
</cp:coreProperties>
</file>